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CD9" w:rsidRPr="00896CD9" w:rsidRDefault="00997F14" w:rsidP="00896CD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43782E">
        <w:rPr>
          <w:rFonts w:ascii="Corbel" w:hAnsi="Corbel"/>
          <w:b/>
          <w:bCs/>
        </w:rPr>
        <w:t xml:space="preserve">   </w:t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896CD9" w:rsidRPr="00896CD9">
        <w:rPr>
          <w:rFonts w:ascii="Corbel" w:hAnsi="Corbel"/>
          <w:bCs/>
          <w:i/>
          <w:lang w:eastAsia="ar-SA"/>
        </w:rPr>
        <w:t>Załącznik nr 1.5 do Zarządzenia Rektora UR nr 7/2023</w:t>
      </w:r>
    </w:p>
    <w:p w:rsidR="00896CD9" w:rsidRPr="00896CD9" w:rsidRDefault="00896CD9" w:rsidP="00896CD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96CD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:rsidR="00896CD9" w:rsidRPr="00896CD9" w:rsidRDefault="00896CD9" w:rsidP="00896CD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96CD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:rsidR="00896CD9" w:rsidRPr="00896CD9" w:rsidRDefault="00896CD9" w:rsidP="00D7544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96CD9">
        <w:rPr>
          <w:rFonts w:ascii="Corbel" w:hAnsi="Corbel"/>
          <w:i/>
          <w:sz w:val="20"/>
          <w:szCs w:val="20"/>
          <w:lang w:eastAsia="ar-SA"/>
        </w:rPr>
        <w:t>(skrajne daty</w:t>
      </w:r>
      <w:r w:rsidRPr="00896CD9">
        <w:rPr>
          <w:rFonts w:ascii="Corbel" w:hAnsi="Corbel"/>
          <w:sz w:val="20"/>
          <w:szCs w:val="20"/>
          <w:lang w:eastAsia="ar-SA"/>
        </w:rPr>
        <w:t>)</w:t>
      </w:r>
    </w:p>
    <w:p w:rsidR="00896CD9" w:rsidRPr="00896CD9" w:rsidRDefault="00896CD9" w:rsidP="00896CD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96CD9">
        <w:rPr>
          <w:rFonts w:ascii="Corbel" w:hAnsi="Corbel"/>
          <w:sz w:val="20"/>
          <w:szCs w:val="20"/>
          <w:lang w:eastAsia="ar-SA"/>
        </w:rPr>
        <w:t>Rok akademicki 2024/2025</w:t>
      </w:r>
    </w:p>
    <w:p w:rsidR="00896CD9" w:rsidRPr="00896CD9" w:rsidRDefault="00896CD9" w:rsidP="00896CD9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:rsidR="0085747A" w:rsidRPr="0043782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3782E">
        <w:rPr>
          <w:rFonts w:ascii="Corbel" w:hAnsi="Corbel"/>
          <w:szCs w:val="24"/>
        </w:rPr>
        <w:t xml:space="preserve">1. </w:t>
      </w:r>
      <w:r w:rsidR="0085747A" w:rsidRPr="0043782E">
        <w:rPr>
          <w:rFonts w:ascii="Corbel" w:hAnsi="Corbel"/>
          <w:szCs w:val="24"/>
        </w:rPr>
        <w:t xml:space="preserve">Podstawowe </w:t>
      </w:r>
      <w:r w:rsidR="00445970" w:rsidRPr="0043782E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Instytucje i źródła prawa Unii Europejskiej</w:t>
            </w:r>
          </w:p>
        </w:tc>
      </w:tr>
      <w:tr w:rsidR="003A486F" w:rsidRPr="0043782E" w:rsidTr="0008385C">
        <w:trPr>
          <w:trHeight w:val="406"/>
        </w:trPr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3A486F" w:rsidRPr="0043782E" w:rsidRDefault="0008385C" w:rsidP="0008385C">
            <w:pPr>
              <w:spacing w:after="0"/>
              <w:rPr>
                <w:b/>
              </w:rPr>
            </w:pPr>
            <w:r w:rsidRPr="0008385C">
              <w:t>ASO 11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 xml:space="preserve">Kolegium Nauk Społecznych, 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Zakład Prawa Międzynarodowego i Prawa Europejskiego</w:t>
            </w:r>
            <w:r w:rsidR="0008385C">
              <w:rPr>
                <w:rFonts w:ascii="Corbel" w:hAnsi="Corbel"/>
                <w:b w:val="0"/>
                <w:color w:val="auto"/>
                <w:sz w:val="22"/>
              </w:rPr>
              <w:t xml:space="preserve"> / </w:t>
            </w:r>
            <w:r w:rsidR="0008385C" w:rsidRPr="0043782E">
              <w:rPr>
                <w:rFonts w:ascii="Corbel" w:hAnsi="Corbel"/>
                <w:b w:val="0"/>
                <w:color w:val="auto"/>
                <w:sz w:val="22"/>
              </w:rPr>
              <w:t>Instytut nauk Prawnych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Administracja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A486F" w:rsidRPr="0043782E" w:rsidRDefault="00B60538" w:rsidP="00B6053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Nies</w:t>
            </w:r>
            <w:r w:rsidR="003A486F" w:rsidRPr="0043782E">
              <w:rPr>
                <w:rFonts w:ascii="Corbel" w:hAnsi="Corbel"/>
                <w:b w:val="0"/>
                <w:color w:val="auto"/>
                <w:sz w:val="22"/>
              </w:rPr>
              <w:t>tacjonarne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43782E">
              <w:rPr>
                <w:rFonts w:ascii="Corbel" w:hAnsi="Corbel"/>
                <w:b w:val="0"/>
                <w:sz w:val="22"/>
              </w:rPr>
              <w:t>I</w:t>
            </w:r>
            <w:r w:rsidRPr="0043782E">
              <w:rPr>
                <w:rFonts w:ascii="Corbel" w:hAnsi="Corbel"/>
                <w:b w:val="0"/>
                <w:color w:val="auto"/>
                <w:sz w:val="22"/>
              </w:rPr>
              <w:t>, semestr II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A486F" w:rsidRPr="0043782E" w:rsidRDefault="0011285E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Podstawowy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Dr hab. Lidia Brodowski, prof. UR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A486F" w:rsidRPr="0043782E" w:rsidRDefault="009806AE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Pracownicy Zakładu zgodnie z obciążeniami</w:t>
            </w:r>
          </w:p>
        </w:tc>
      </w:tr>
    </w:tbl>
    <w:p w:rsidR="0085747A" w:rsidRPr="0043782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* </w:t>
      </w:r>
      <w:r w:rsidRPr="0043782E">
        <w:rPr>
          <w:rFonts w:ascii="Corbel" w:hAnsi="Corbel"/>
          <w:i/>
          <w:sz w:val="24"/>
          <w:szCs w:val="24"/>
        </w:rPr>
        <w:t>-</w:t>
      </w:r>
      <w:r w:rsidR="00B90885" w:rsidRPr="0043782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3782E">
        <w:rPr>
          <w:rFonts w:ascii="Corbel" w:hAnsi="Corbel"/>
          <w:b w:val="0"/>
          <w:sz w:val="24"/>
          <w:szCs w:val="24"/>
        </w:rPr>
        <w:t>e,</w:t>
      </w:r>
      <w:r w:rsidRPr="0043782E">
        <w:rPr>
          <w:rFonts w:ascii="Corbel" w:hAnsi="Corbel"/>
          <w:i/>
          <w:sz w:val="24"/>
          <w:szCs w:val="24"/>
        </w:rPr>
        <w:t xml:space="preserve"> </w:t>
      </w:r>
      <w:r w:rsidRPr="0043782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3782E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43782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>1.</w:t>
      </w:r>
      <w:r w:rsidR="00E22FBC" w:rsidRPr="0043782E">
        <w:rPr>
          <w:rFonts w:ascii="Corbel" w:hAnsi="Corbel"/>
          <w:sz w:val="24"/>
          <w:szCs w:val="24"/>
        </w:rPr>
        <w:t>1</w:t>
      </w:r>
      <w:r w:rsidRPr="0043782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43782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3782E" w:rsidTr="0008385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Semestr</w:t>
            </w:r>
          </w:p>
          <w:p w:rsidR="00015B8F" w:rsidRPr="0043782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(</w:t>
            </w:r>
            <w:r w:rsidR="00363F78" w:rsidRPr="0043782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Wykł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Konw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Sem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Prakt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3782E">
              <w:rPr>
                <w:rFonts w:ascii="Corbel" w:hAnsi="Corbel"/>
                <w:b/>
                <w:szCs w:val="24"/>
              </w:rPr>
              <w:t>Liczba pkt</w:t>
            </w:r>
            <w:r w:rsidR="00B90885" w:rsidRPr="0043782E">
              <w:rPr>
                <w:rFonts w:ascii="Corbel" w:hAnsi="Corbel"/>
                <w:b/>
                <w:szCs w:val="24"/>
              </w:rPr>
              <w:t>.</w:t>
            </w:r>
            <w:r w:rsidRPr="0043782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3782E" w:rsidTr="0008385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3A486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B60538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3A486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43782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43782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>1.</w:t>
      </w:r>
      <w:r w:rsidR="00E22FBC" w:rsidRPr="0043782E">
        <w:rPr>
          <w:rFonts w:ascii="Corbel" w:hAnsi="Corbel"/>
          <w:smallCaps w:val="0"/>
          <w:szCs w:val="24"/>
        </w:rPr>
        <w:t>2</w:t>
      </w:r>
      <w:r w:rsidR="00F83B28" w:rsidRPr="0043782E">
        <w:rPr>
          <w:rFonts w:ascii="Corbel" w:hAnsi="Corbel"/>
          <w:smallCaps w:val="0"/>
          <w:szCs w:val="24"/>
        </w:rPr>
        <w:t>.</w:t>
      </w:r>
      <w:r w:rsidR="00F83B28" w:rsidRPr="0043782E">
        <w:rPr>
          <w:rFonts w:ascii="Corbel" w:hAnsi="Corbel"/>
          <w:smallCaps w:val="0"/>
          <w:szCs w:val="24"/>
        </w:rPr>
        <w:tab/>
      </w:r>
      <w:r w:rsidRPr="0043782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3782E" w:rsidRDefault="003A48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eastAsia="MS Gothic" w:hAnsi="Corbel" w:cs="MS Gothic"/>
          <w:b w:val="0"/>
          <w:szCs w:val="24"/>
        </w:rPr>
        <w:t>X</w:t>
      </w:r>
      <w:r w:rsidR="0085747A" w:rsidRPr="0043782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43782E" w:rsidRDefault="003A48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eastAsia="MS Gothic" w:hAnsi="Corbel" w:cs="MS Gothic"/>
          <w:b w:val="0"/>
          <w:szCs w:val="24"/>
        </w:rPr>
        <w:t>X</w:t>
      </w:r>
      <w:r w:rsidR="0085747A" w:rsidRPr="0043782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r w:rsidR="00BC04D6">
        <w:rPr>
          <w:rFonts w:ascii="Corbel" w:hAnsi="Corbel"/>
          <w:b w:val="0"/>
          <w:smallCaps w:val="0"/>
          <w:szCs w:val="24"/>
        </w:rPr>
        <w:t>ć</w:t>
      </w:r>
    </w:p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1.3 </w:t>
      </w:r>
      <w:r w:rsidR="00F83B28" w:rsidRPr="0043782E">
        <w:rPr>
          <w:rFonts w:ascii="Corbel" w:hAnsi="Corbel"/>
          <w:smallCaps w:val="0"/>
          <w:szCs w:val="24"/>
        </w:rPr>
        <w:tab/>
      </w:r>
      <w:r w:rsidRPr="0043782E">
        <w:rPr>
          <w:rFonts w:ascii="Corbel" w:hAnsi="Corbel"/>
          <w:smallCaps w:val="0"/>
          <w:szCs w:val="24"/>
        </w:rPr>
        <w:t>For</w:t>
      </w:r>
      <w:r w:rsidR="00445970" w:rsidRPr="0043782E">
        <w:rPr>
          <w:rFonts w:ascii="Corbel" w:hAnsi="Corbel"/>
          <w:smallCaps w:val="0"/>
          <w:szCs w:val="24"/>
        </w:rPr>
        <w:t xml:space="preserve">ma zaliczenia przedmiotu </w:t>
      </w:r>
      <w:r w:rsidRPr="0043782E">
        <w:rPr>
          <w:rFonts w:ascii="Corbel" w:hAnsi="Corbel"/>
          <w:smallCaps w:val="0"/>
          <w:szCs w:val="24"/>
        </w:rPr>
        <w:t xml:space="preserve"> (z toku) </w:t>
      </w:r>
      <w:r w:rsidRPr="0043782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4626D9" w:rsidRPr="0043782E" w:rsidRDefault="004626D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bookmarkStart w:id="0" w:name="_GoBack"/>
      <w:bookmarkEnd w:id="0"/>
    </w:p>
    <w:p w:rsidR="003A486F" w:rsidRPr="0043782E" w:rsidRDefault="003A486F" w:rsidP="003A486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</w:rPr>
      </w:pPr>
      <w:r w:rsidRPr="0043782E">
        <w:rPr>
          <w:rFonts w:ascii="Corbel" w:eastAsia="Cambria" w:hAnsi="Corbel"/>
        </w:rPr>
        <w:t>wykład – egzamin</w:t>
      </w:r>
    </w:p>
    <w:p w:rsidR="003A486F" w:rsidRPr="0043782E" w:rsidRDefault="003A486F" w:rsidP="00B60538">
      <w:pPr>
        <w:spacing w:after="0" w:line="240" w:lineRule="auto"/>
        <w:ind w:left="720"/>
        <w:contextualSpacing/>
        <w:jc w:val="both"/>
        <w:rPr>
          <w:rFonts w:ascii="Corbel" w:eastAsia="Cambria" w:hAnsi="Corbel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3782E">
        <w:rPr>
          <w:rFonts w:ascii="Corbel" w:hAnsi="Corbel"/>
          <w:szCs w:val="24"/>
        </w:rPr>
        <w:t xml:space="preserve">2.Wymagania wstępne </w:t>
      </w:r>
    </w:p>
    <w:p w:rsidR="0008385C" w:rsidRPr="0043782E" w:rsidRDefault="0008385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782E" w:rsidTr="00745302">
        <w:tc>
          <w:tcPr>
            <w:tcW w:w="9670" w:type="dxa"/>
          </w:tcPr>
          <w:p w:rsidR="0085747A" w:rsidRPr="0043782E" w:rsidRDefault="00AA3FD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WSTĘPU DO PRAWOZNAWSTWA</w:t>
            </w:r>
          </w:p>
        </w:tc>
      </w:tr>
    </w:tbl>
    <w:p w:rsidR="00153C41" w:rsidRPr="0043782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96CD9" w:rsidRDefault="00896CD9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43782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3782E">
        <w:rPr>
          <w:rFonts w:ascii="Corbel" w:hAnsi="Corbel"/>
          <w:szCs w:val="24"/>
        </w:rPr>
        <w:lastRenderedPageBreak/>
        <w:t>3.</w:t>
      </w:r>
      <w:r w:rsidR="0085747A" w:rsidRPr="0043782E">
        <w:rPr>
          <w:rFonts w:ascii="Corbel" w:hAnsi="Corbel"/>
          <w:szCs w:val="24"/>
        </w:rPr>
        <w:t xml:space="preserve"> </w:t>
      </w:r>
      <w:r w:rsidR="00A84C85" w:rsidRPr="0043782E">
        <w:rPr>
          <w:rFonts w:ascii="Corbel" w:hAnsi="Corbel"/>
          <w:szCs w:val="24"/>
        </w:rPr>
        <w:t>cele, efekty uczenia się</w:t>
      </w:r>
      <w:r w:rsidR="0085747A" w:rsidRPr="0043782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3782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3.1 </w:t>
      </w:r>
      <w:r w:rsidR="00C05F44" w:rsidRPr="0043782E">
        <w:rPr>
          <w:rFonts w:ascii="Corbel" w:hAnsi="Corbel"/>
          <w:sz w:val="24"/>
          <w:szCs w:val="24"/>
        </w:rPr>
        <w:t>Cele przedmiotu</w:t>
      </w:r>
    </w:p>
    <w:p w:rsidR="00F83B28" w:rsidRPr="0043782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43782E" w:rsidTr="00923D7D">
        <w:tc>
          <w:tcPr>
            <w:tcW w:w="851" w:type="dxa"/>
            <w:vAlign w:val="center"/>
          </w:tcPr>
          <w:p w:rsidR="0085747A" w:rsidRPr="0043782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Przedstawienie historii integracji europejskiej na podstawie wybranych traktatów o charakterze założycielskim, modyfikującym i akcesyjnym</w:t>
            </w:r>
          </w:p>
        </w:tc>
      </w:tr>
      <w:tr w:rsidR="0085747A" w:rsidRPr="0043782E" w:rsidTr="00923D7D">
        <w:tc>
          <w:tcPr>
            <w:tcW w:w="851" w:type="dxa"/>
            <w:vAlign w:val="center"/>
          </w:tcPr>
          <w:p w:rsidR="0085747A" w:rsidRPr="0043782E" w:rsidRDefault="003A486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Omówienie charakteru prawnego Wspólnoty Europejskiej oraz Unii Europejskiej na podstawie wybranego orzecznictwa Trybunału Sprawiedliwości Unii Europejskiej</w:t>
            </w:r>
          </w:p>
        </w:tc>
      </w:tr>
      <w:tr w:rsidR="0085747A" w:rsidRPr="0043782E" w:rsidTr="00923D7D">
        <w:tc>
          <w:tcPr>
            <w:tcW w:w="851" w:type="dxa"/>
            <w:vAlign w:val="center"/>
          </w:tcPr>
          <w:p w:rsidR="0085747A" w:rsidRPr="0043782E" w:rsidRDefault="003A48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Omówienie działalności instytucji Unii Europejskiej ze szczególnym uwzględnieniem ich roli w tworzeniu i stosowaniu prawa UE</w:t>
            </w:r>
          </w:p>
        </w:tc>
      </w:tr>
      <w:tr w:rsidR="003A486F" w:rsidRPr="0043782E" w:rsidTr="00923D7D">
        <w:tc>
          <w:tcPr>
            <w:tcW w:w="851" w:type="dxa"/>
            <w:vAlign w:val="center"/>
          </w:tcPr>
          <w:p w:rsidR="003A486F" w:rsidRPr="0043782E" w:rsidRDefault="003A48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3A486F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Charakterystyka systemu prawnego Wspólnej Polityki Zagranicznej i Bezpieczeństwa oraz Przestrzeni Wolności, Bezpieczeństwa i Sprawiedliwości (ze szczególnym uwzględnieniem roli Stałego Komitetu Współpracy Operacyjnej w zakresie Bezpieczeństwa Wewnętrznego – COSI oraz parlamentów narodowych państw członkowskich)</w:t>
            </w:r>
          </w:p>
        </w:tc>
      </w:tr>
    </w:tbl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43782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b/>
          <w:sz w:val="24"/>
          <w:szCs w:val="24"/>
        </w:rPr>
        <w:t xml:space="preserve">3.2 </w:t>
      </w:r>
      <w:r w:rsidR="001D7B54" w:rsidRPr="0043782E">
        <w:rPr>
          <w:rFonts w:ascii="Corbel" w:hAnsi="Corbel"/>
          <w:b/>
          <w:sz w:val="24"/>
          <w:szCs w:val="24"/>
        </w:rPr>
        <w:t xml:space="preserve">Efekty </w:t>
      </w:r>
      <w:r w:rsidR="00C05F44" w:rsidRPr="0043782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3782E">
        <w:rPr>
          <w:rFonts w:ascii="Corbel" w:hAnsi="Corbel"/>
          <w:b/>
          <w:sz w:val="24"/>
          <w:szCs w:val="24"/>
        </w:rPr>
        <w:t>dla przedmiotu</w:t>
      </w:r>
      <w:r w:rsidR="00445970" w:rsidRPr="0043782E">
        <w:rPr>
          <w:rFonts w:ascii="Corbel" w:hAnsi="Corbel"/>
          <w:sz w:val="24"/>
          <w:szCs w:val="24"/>
        </w:rPr>
        <w:t xml:space="preserve"> </w:t>
      </w:r>
    </w:p>
    <w:p w:rsidR="001D7B54" w:rsidRPr="0043782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85747A" w:rsidRPr="0043782E" w:rsidTr="00FF2B3E">
        <w:tc>
          <w:tcPr>
            <w:tcW w:w="1679" w:type="dxa"/>
            <w:vAlign w:val="center"/>
          </w:tcPr>
          <w:p w:rsidR="0085747A" w:rsidRPr="0043782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3782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3782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43782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7" w:type="dxa"/>
            <w:vAlign w:val="center"/>
          </w:tcPr>
          <w:p w:rsidR="0085747A" w:rsidRPr="0043782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3782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3782E" w:rsidTr="00FF2B3E">
        <w:tc>
          <w:tcPr>
            <w:tcW w:w="1679" w:type="dxa"/>
          </w:tcPr>
          <w:p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3782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43782E" w:rsidRDefault="00FF2B3E" w:rsidP="00FF2B3E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 xml:space="preserve">Student </w:t>
            </w:r>
            <w:r w:rsidR="003A486F" w:rsidRPr="0043782E">
              <w:rPr>
                <w:rFonts w:ascii="Corbel" w:hAnsi="Corbel"/>
              </w:rPr>
              <w:t xml:space="preserve">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</w:t>
            </w:r>
            <w:r w:rsidRPr="0043782E">
              <w:rPr>
                <w:rFonts w:ascii="Corbel" w:hAnsi="Corbel"/>
              </w:rPr>
              <w:t>europejskich;</w:t>
            </w:r>
          </w:p>
        </w:tc>
        <w:tc>
          <w:tcPr>
            <w:tcW w:w="1867" w:type="dxa"/>
          </w:tcPr>
          <w:p w:rsidR="003A486F" w:rsidRPr="0043782E" w:rsidRDefault="003A486F" w:rsidP="003A486F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K_W01,</w:t>
            </w:r>
          </w:p>
          <w:p w:rsidR="003A486F" w:rsidRPr="0043782E" w:rsidRDefault="003A486F" w:rsidP="003A486F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K_W03,</w:t>
            </w:r>
          </w:p>
          <w:p w:rsidR="003A486F" w:rsidRPr="0043782E" w:rsidRDefault="003A486F" w:rsidP="003A486F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K_W05, ,</w:t>
            </w:r>
          </w:p>
          <w:p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43782E" w:rsidTr="00FF2B3E">
        <w:tc>
          <w:tcPr>
            <w:tcW w:w="1679" w:type="dxa"/>
          </w:tcPr>
          <w:p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43782E" w:rsidRDefault="00FF2B3E" w:rsidP="00FF2B3E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 xml:space="preserve">Student posiada umiejętność wykorzystania zdobytej wiedzy teoretycznej z dziedziny prawa Unii Europejskiej do analizowania konkretnych procesów i zjawisk międzynarodowych; </w:t>
            </w:r>
          </w:p>
        </w:tc>
        <w:tc>
          <w:tcPr>
            <w:tcW w:w="1867" w:type="dxa"/>
          </w:tcPr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K_U03,</w:t>
            </w:r>
          </w:p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K_U04,</w:t>
            </w:r>
          </w:p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 xml:space="preserve">K_U05, </w:t>
            </w:r>
          </w:p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K_U07,</w:t>
            </w:r>
          </w:p>
          <w:p w:rsidR="0085747A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</w:rPr>
              <w:t>K_U09</w:t>
            </w:r>
          </w:p>
        </w:tc>
      </w:tr>
      <w:tr w:rsidR="0085747A" w:rsidRPr="0043782E" w:rsidTr="00FF2B3E">
        <w:tc>
          <w:tcPr>
            <w:tcW w:w="1679" w:type="dxa"/>
          </w:tcPr>
          <w:p w:rsidR="0085747A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5747A" w:rsidRPr="0043782E" w:rsidRDefault="00FF2B3E" w:rsidP="00FF2B3E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 xml:space="preserve">K_K01, </w:t>
            </w:r>
          </w:p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K_K02,</w:t>
            </w:r>
          </w:p>
          <w:p w:rsidR="0085747A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</w:rPr>
              <w:t>K_K03</w:t>
            </w:r>
          </w:p>
        </w:tc>
      </w:tr>
    </w:tbl>
    <w:p w:rsidR="0043782E" w:rsidRPr="0043782E" w:rsidRDefault="0043782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3782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3782E">
        <w:rPr>
          <w:rFonts w:ascii="Corbel" w:hAnsi="Corbel"/>
          <w:b/>
          <w:sz w:val="24"/>
          <w:szCs w:val="24"/>
        </w:rPr>
        <w:t>3.3</w:t>
      </w:r>
      <w:r w:rsidR="001D7B54" w:rsidRPr="0043782E">
        <w:rPr>
          <w:rFonts w:ascii="Corbel" w:hAnsi="Corbel"/>
          <w:b/>
          <w:sz w:val="24"/>
          <w:szCs w:val="24"/>
        </w:rPr>
        <w:t xml:space="preserve"> </w:t>
      </w:r>
      <w:r w:rsidR="0085747A" w:rsidRPr="0043782E">
        <w:rPr>
          <w:rFonts w:ascii="Corbel" w:hAnsi="Corbel"/>
          <w:b/>
          <w:sz w:val="24"/>
          <w:szCs w:val="24"/>
        </w:rPr>
        <w:t>T</w:t>
      </w:r>
      <w:r w:rsidR="001D7B54" w:rsidRPr="0043782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3782E">
        <w:rPr>
          <w:rFonts w:ascii="Corbel" w:hAnsi="Corbel"/>
          <w:sz w:val="24"/>
          <w:szCs w:val="24"/>
        </w:rPr>
        <w:t xml:space="preserve">  </w:t>
      </w:r>
    </w:p>
    <w:p w:rsidR="0085747A" w:rsidRPr="0043782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43782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F2B3E" w:rsidRPr="0043782E" w:rsidTr="00FF2B3E">
        <w:tc>
          <w:tcPr>
            <w:tcW w:w="9497" w:type="dxa"/>
          </w:tcPr>
          <w:p w:rsidR="00FF2B3E" w:rsidRPr="0043782E" w:rsidRDefault="00FF2B3E" w:rsidP="00FF2B3E">
            <w:pPr>
              <w:spacing w:after="0" w:line="240" w:lineRule="auto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Treści merytoryczne</w:t>
            </w:r>
          </w:p>
        </w:tc>
      </w:tr>
      <w:tr w:rsidR="00FF2B3E" w:rsidRPr="0043782E" w:rsidTr="00FF2B3E">
        <w:trPr>
          <w:trHeight w:val="330"/>
        </w:trPr>
        <w:tc>
          <w:tcPr>
            <w:tcW w:w="9497" w:type="dxa"/>
          </w:tcPr>
          <w:p w:rsidR="00FF2B3E" w:rsidRPr="0043782E" w:rsidRDefault="00FF2B3E" w:rsidP="003470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Ogólna charakterystyka wewnętrznej struktury organizacji międzynarodowych, zadań realizowanych przez poszczególne organy i instytucje, sposobu ich powoływania oraz statusu wchodzących w ich skład osób </w:t>
            </w:r>
          </w:p>
        </w:tc>
      </w:tr>
      <w:tr w:rsidR="00FF2B3E" w:rsidRPr="0043782E" w:rsidTr="00FF2B3E">
        <w:trPr>
          <w:trHeight w:val="278"/>
        </w:trPr>
        <w:tc>
          <w:tcPr>
            <w:tcW w:w="9497" w:type="dxa"/>
          </w:tcPr>
          <w:p w:rsidR="00FF2B3E" w:rsidRPr="0043782E" w:rsidRDefault="00FF2B3E" w:rsidP="00FF2B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Przedstawienie najważniejszych założeń i zasad, na których opiera się działalność instytucji UE. </w:t>
            </w:r>
          </w:p>
        </w:tc>
      </w:tr>
      <w:tr w:rsidR="00FF2B3E" w:rsidRPr="0043782E" w:rsidTr="00FF2B3E">
        <w:trPr>
          <w:trHeight w:val="309"/>
        </w:trPr>
        <w:tc>
          <w:tcPr>
            <w:tcW w:w="9497" w:type="dxa"/>
          </w:tcPr>
          <w:p w:rsidR="00FF2B3E" w:rsidRPr="0043782E" w:rsidRDefault="00FF2B3E" w:rsidP="003470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Charakterystyka Parlamentu Europejskiego, jego składu osobowego i statusu członków, sposobu powoływania deputowanych, struktury wewnętrznej, organizacji pracy, trybu podejmowania </w:t>
            </w:r>
            <w:r w:rsidRPr="0043782E">
              <w:rPr>
                <w:rFonts w:ascii="Corbel" w:eastAsia="Cambria" w:hAnsi="Corbel"/>
              </w:rPr>
              <w:lastRenderedPageBreak/>
              <w:t>decyzji, realizowanych funkcji i zadań</w:t>
            </w:r>
          </w:p>
        </w:tc>
      </w:tr>
      <w:tr w:rsidR="00FF2B3E" w:rsidRPr="0043782E" w:rsidTr="00FF2B3E">
        <w:trPr>
          <w:trHeight w:val="270"/>
        </w:trPr>
        <w:tc>
          <w:tcPr>
            <w:tcW w:w="9497" w:type="dxa"/>
          </w:tcPr>
          <w:p w:rsidR="00FF2B3E" w:rsidRPr="0043782E" w:rsidRDefault="00FF2B3E" w:rsidP="003470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 Charakterystyka Rady Europejskiej, jej składu osobowego i statusu członków, struktury wewnętrznej oraz organizacji pracy, realizowanych funkcji i zadań, a także roli w wyznaczaniu kierunków i tempa procesów integracyjnych w Europie</w:t>
            </w:r>
          </w:p>
        </w:tc>
      </w:tr>
      <w:tr w:rsidR="00FF2B3E" w:rsidRPr="0043782E" w:rsidTr="00FF2B3E">
        <w:trPr>
          <w:trHeight w:val="270"/>
        </w:trPr>
        <w:tc>
          <w:tcPr>
            <w:tcW w:w="9497" w:type="dxa"/>
          </w:tcPr>
          <w:p w:rsidR="00FF2B3E" w:rsidRPr="0043782E" w:rsidRDefault="00FF2B3E" w:rsidP="003470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 Charakterystyka Komisji Europejskiej, sposobu jej powoływania, składu osobowego i statusu członków, zakresu przywilejów i immunitetów posiadanych przez poszczególnych komisarzy, struktury wewnętrznej oraz organizacji pracy Komisji, a także realizowanych funkcji i zadań ze szczególnym uwzględnieniem kontroli przestrzegania prawa UE przez państwa członkowskie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>Charakterystyka Rady UE, sposobu jej powoływania, składu osobowego i statusu członków, struktury wewnętrznej oraz organizacji pracy, a także realizowanych funkcji i zadań ze szczególnym uwzględnieniem roli w procesie prawodawczym w UE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eastAsia="Cambria" w:hAnsi="Corbel"/>
              </w:rPr>
              <w:t>Charakterystyka Trybunału Sprawiedliwości UE, sposobu powoływania sędziów oraz rzeczników generalnych, posiadanych przywilejów oraz immunitetów, a także składów i właściwości poszczególnych izb Trybunału. Omówienie przebiegu najważniejszych postępowań przez Trybunałem Sprawiedliwości, w tym postępowania w sprawie naruszenia przez państwo członkowskie zobowiązań traktatowych, postępowania w sprawie stwierdzenia nieważności aktu prawa UE oraz postępowania związanego z udzielaniem odpowiedzi na pytania prejudycjalne kierowane przez sądy państw członkowskich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Charakterystyka Trybunału Obrachunkowego, jego składu osobowego oraz zadań związanych z kontrolą rachunków dochodów i wydatków UE oraz poświadczaniem wiarygodności dokumentów. Omówienie najważniejszych międzynarodowych standardów kontroli przyjmowanych w praktyce działalności Trybunału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Charakterystyka Europejskiego Banku Centralnego, jego genezy oraz organów decyzyjnych, roli w zakresie utrzymania stabilności cen i ustalania polityki gospodarczej i pieniężnej UE. Przedstawienie najważniejszych mechanizmów służących zagwarantowaniu niezależności instytucjonalnej, prawnej, funkcjonalnej oraz operacyjnej Banku 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 Pojęcie prawa UE i jego źródeł, różnice między prawem UE a prawem międzynarodowym publicznym i prawem krajowym, miejsce prawa UE w krajowym porządku prawnym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 Charakterystyka prawa pierwotnego UE, przedstawienie przedmiotowego zakresu traktatów założycielskich, rewizyjnych oraz akcesyjnych,  procedury ich zawierania oraz warunków wejścia w życie; przedstawienie roli zasad ogólnych w procesie tworzenia i stosowania prawa UE oraz konsekwencji ich naruszenia; omówienie miejsca i znaczenia Karty Praw Podstawowych w systemie prawa pierwotnego UE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Przedstawienie miejsca umów międzynarodowych w systemie źródeł prawa UE, sposobu ich zawierania oraz klasyfikacji; ustalenie zakresu związania państw członkowskich umowami zawartymi przez UE oraz skutków ich naruszenia; mechanizmy i sposoby weryfikacji zgodności zawieranych umów międzynarodowych z traktatami założycielskimi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 Charakterystyka prawa pochodnego UE: aktów prawodawczych, delegowanych oraz wykonawczych. Omówienie form, w jakich tworzone są akty prawa pochodnego oraz procedury ich stanowienia. Przedstawienie mechanizmów badania zgodności oraz skutków stwierdzenia niezgodności aktów prawa pochodnego UE z prawem pierwotnym.</w:t>
            </w:r>
          </w:p>
        </w:tc>
      </w:tr>
    </w:tbl>
    <w:p w:rsidR="0085747A" w:rsidRPr="0043782E" w:rsidRDefault="008B3588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Łącznie 30 godz.</w:t>
      </w:r>
    </w:p>
    <w:p w:rsidR="0085747A" w:rsidRPr="0043782E" w:rsidRDefault="0085747A" w:rsidP="0008385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3782E">
        <w:rPr>
          <w:rFonts w:ascii="Corbel" w:hAnsi="Corbel"/>
          <w:sz w:val="24"/>
          <w:szCs w:val="24"/>
        </w:rPr>
        <w:t xml:space="preserve">, </w:t>
      </w:r>
      <w:r w:rsidRPr="0043782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43782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782E" w:rsidTr="00FF2B3E">
        <w:tc>
          <w:tcPr>
            <w:tcW w:w="9520" w:type="dxa"/>
          </w:tcPr>
          <w:p w:rsidR="0085747A" w:rsidRPr="0043782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F2B3E" w:rsidRPr="0043782E" w:rsidTr="00FF2B3E">
        <w:tc>
          <w:tcPr>
            <w:tcW w:w="9520" w:type="dxa"/>
          </w:tcPr>
          <w:p w:rsidR="00FF2B3E" w:rsidRPr="0043782E" w:rsidRDefault="0008385C" w:rsidP="000838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Nie dotyczy </w:t>
            </w:r>
          </w:p>
        </w:tc>
      </w:tr>
    </w:tbl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3782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>3.4 Metody dydaktyczne</w:t>
      </w:r>
      <w:r w:rsidRPr="0043782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43782E" w:rsidRDefault="009B4EE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Wykład: </w:t>
      </w:r>
      <w:r w:rsidRPr="0043782E">
        <w:rPr>
          <w:rFonts w:ascii="Corbel" w:hAnsi="Corbel"/>
          <w:b w:val="0"/>
          <w:smallCaps w:val="0"/>
          <w:szCs w:val="24"/>
        </w:rPr>
        <w:t>wykład problemowy, metody kształcenia na odległość</w:t>
      </w:r>
    </w:p>
    <w:p w:rsidR="00E960BB" w:rsidRPr="0043782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3782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43782E">
        <w:rPr>
          <w:rFonts w:ascii="Corbel" w:hAnsi="Corbel"/>
          <w:smallCaps w:val="0"/>
          <w:szCs w:val="24"/>
        </w:rPr>
        <w:t>METODY I KRYTERIA OCENY</w:t>
      </w:r>
      <w:r w:rsidR="009F4610" w:rsidRPr="0043782E">
        <w:rPr>
          <w:rFonts w:ascii="Corbel" w:hAnsi="Corbel"/>
          <w:smallCaps w:val="0"/>
          <w:szCs w:val="24"/>
        </w:rPr>
        <w:t xml:space="preserve"> </w:t>
      </w:r>
    </w:p>
    <w:p w:rsidR="00923D7D" w:rsidRPr="0043782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3782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3782E">
        <w:rPr>
          <w:rFonts w:ascii="Corbel" w:hAnsi="Corbel"/>
          <w:smallCaps w:val="0"/>
          <w:szCs w:val="24"/>
        </w:rPr>
        <w:t>uczenia się</w:t>
      </w:r>
    </w:p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3782E" w:rsidTr="009B4EE3">
        <w:tc>
          <w:tcPr>
            <w:tcW w:w="1962" w:type="dxa"/>
            <w:vAlign w:val="center"/>
          </w:tcPr>
          <w:p w:rsidR="0085747A" w:rsidRPr="0043782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43782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43782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378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43782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3782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B4EE3" w:rsidRPr="0043782E" w:rsidTr="009B4EE3">
        <w:tc>
          <w:tcPr>
            <w:tcW w:w="1962" w:type="dxa"/>
          </w:tcPr>
          <w:p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3782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3782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:rsidR="009B4EE3" w:rsidRPr="0043782E" w:rsidRDefault="009B4EE3" w:rsidP="000D1B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 xml:space="preserve">egzamin pisemny, </w:t>
            </w:r>
          </w:p>
        </w:tc>
        <w:tc>
          <w:tcPr>
            <w:tcW w:w="2117" w:type="dxa"/>
          </w:tcPr>
          <w:p w:rsidR="009B4EE3" w:rsidRPr="0043782E" w:rsidRDefault="009B4EE3" w:rsidP="009B4EE3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W</w:t>
            </w:r>
            <w:r w:rsidR="000D1B45">
              <w:rPr>
                <w:rFonts w:ascii="Corbel" w:hAnsi="Corbel"/>
                <w:b w:val="0"/>
                <w:sz w:val="22"/>
              </w:rPr>
              <w:t xml:space="preserve">, </w:t>
            </w:r>
          </w:p>
        </w:tc>
      </w:tr>
      <w:tr w:rsidR="009B4EE3" w:rsidRPr="0043782E" w:rsidTr="009B4EE3">
        <w:tc>
          <w:tcPr>
            <w:tcW w:w="1962" w:type="dxa"/>
          </w:tcPr>
          <w:p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3782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3782E">
              <w:rPr>
                <w:rFonts w:ascii="Corbel" w:hAnsi="Corbel"/>
                <w:b w:val="0"/>
                <w:szCs w:val="24"/>
              </w:rPr>
              <w:t xml:space="preserve">_ 02 </w:t>
            </w:r>
          </w:p>
        </w:tc>
        <w:tc>
          <w:tcPr>
            <w:tcW w:w="5441" w:type="dxa"/>
          </w:tcPr>
          <w:p w:rsidR="009B4EE3" w:rsidRPr="0043782E" w:rsidRDefault="009B4EE3" w:rsidP="000D1B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 xml:space="preserve">egzamin pisemny, </w:t>
            </w:r>
          </w:p>
        </w:tc>
        <w:tc>
          <w:tcPr>
            <w:tcW w:w="2117" w:type="dxa"/>
          </w:tcPr>
          <w:p w:rsidR="009B4EE3" w:rsidRPr="0043782E" w:rsidRDefault="009B4EE3" w:rsidP="000D1B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 xml:space="preserve">                    W, </w:t>
            </w:r>
          </w:p>
        </w:tc>
      </w:tr>
      <w:tr w:rsidR="009B4EE3" w:rsidRPr="0043782E" w:rsidTr="009B4EE3">
        <w:tc>
          <w:tcPr>
            <w:tcW w:w="1962" w:type="dxa"/>
          </w:tcPr>
          <w:p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3782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9B4EE3" w:rsidRPr="0043782E" w:rsidRDefault="009B4EE3" w:rsidP="000D1B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 xml:space="preserve">egzamin pisemny, </w:t>
            </w:r>
          </w:p>
        </w:tc>
        <w:tc>
          <w:tcPr>
            <w:tcW w:w="2117" w:type="dxa"/>
          </w:tcPr>
          <w:p w:rsidR="009B4EE3" w:rsidRPr="0043782E" w:rsidRDefault="009B4EE3" w:rsidP="000D1B45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 xml:space="preserve">W, </w:t>
            </w:r>
          </w:p>
        </w:tc>
      </w:tr>
    </w:tbl>
    <w:p w:rsidR="00923D7D" w:rsidRPr="0043782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3782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4.2 </w:t>
      </w:r>
      <w:r w:rsidR="0085747A" w:rsidRPr="0043782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3782E">
        <w:rPr>
          <w:rFonts w:ascii="Corbel" w:hAnsi="Corbel"/>
          <w:smallCaps w:val="0"/>
          <w:szCs w:val="24"/>
        </w:rPr>
        <w:t xml:space="preserve"> </w:t>
      </w:r>
    </w:p>
    <w:p w:rsidR="00923D7D" w:rsidRPr="0043782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782E" w:rsidTr="00923D7D">
        <w:tc>
          <w:tcPr>
            <w:tcW w:w="9670" w:type="dxa"/>
          </w:tcPr>
          <w:p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Test wielokrotnego wyboru składający się z 25 pytań. W ramach testu obowiązuje następująca skala ocen z uwzględnieniem punktacji: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25-24 pkt, plus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23-21 pkt,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20-18 pkt, plus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17-15 pkt,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14-13 pkt, poniżej 13 pkt –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.  Czas trwania egzaminu 25 min. </w:t>
            </w:r>
          </w:p>
          <w:p w:rsidR="0085747A" w:rsidRPr="0043782E" w:rsidRDefault="009B4EE3" w:rsidP="00D754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Test wielokrotnego wyboru oznacza iż jedna lub kilka odpowiedzi jest prawidłowych. Za nieprawidłową odpowiedź na pytanie student otrzymuje 0 punktów, za prawidłową odpowiedź – 1 punkt. Nie ma punktów cząstkowych oraz punktów ujemnych. W każdym pytaniu przynajmniej 1 odpowiedź jest prawidłowa.</w:t>
            </w:r>
          </w:p>
        </w:tc>
      </w:tr>
    </w:tbl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43782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3782E">
        <w:rPr>
          <w:rFonts w:ascii="Corbel" w:hAnsi="Corbel"/>
          <w:b/>
          <w:sz w:val="24"/>
          <w:szCs w:val="24"/>
        </w:rPr>
        <w:t xml:space="preserve">5. </w:t>
      </w:r>
      <w:r w:rsidR="00C61DC5" w:rsidRPr="0043782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3782E" w:rsidTr="003E1941">
        <w:tc>
          <w:tcPr>
            <w:tcW w:w="4962" w:type="dxa"/>
            <w:vAlign w:val="center"/>
          </w:tcPr>
          <w:p w:rsidR="0085747A" w:rsidRPr="004378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3782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3782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378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3782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3782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3782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3782E" w:rsidTr="00923D7D">
        <w:tc>
          <w:tcPr>
            <w:tcW w:w="4962" w:type="dxa"/>
          </w:tcPr>
          <w:p w:rsidR="0085747A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G</w:t>
            </w:r>
            <w:r w:rsidR="0085747A" w:rsidRPr="0043782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3782E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3782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3782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43782E" w:rsidRDefault="009B4E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43782E" w:rsidTr="00923D7D">
        <w:tc>
          <w:tcPr>
            <w:tcW w:w="4962" w:type="dxa"/>
          </w:tcPr>
          <w:p w:rsidR="00C61DC5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3782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43782E" w:rsidRDefault="009B4E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43782E" w:rsidTr="00923D7D">
        <w:tc>
          <w:tcPr>
            <w:tcW w:w="4962" w:type="dxa"/>
          </w:tcPr>
          <w:p w:rsidR="0071620A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43782E" w:rsidRDefault="004378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85747A" w:rsidRPr="0043782E" w:rsidTr="00923D7D">
        <w:tc>
          <w:tcPr>
            <w:tcW w:w="4962" w:type="dxa"/>
          </w:tcPr>
          <w:p w:rsidR="0085747A" w:rsidRPr="0043782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3782E" w:rsidRDefault="004378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43782E" w:rsidTr="00923D7D">
        <w:tc>
          <w:tcPr>
            <w:tcW w:w="4962" w:type="dxa"/>
          </w:tcPr>
          <w:p w:rsidR="0085747A" w:rsidRPr="0043782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43782E" w:rsidRDefault="009B4E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43782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3782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3782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3782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3782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6. </w:t>
      </w:r>
      <w:r w:rsidR="0085747A" w:rsidRPr="0043782E">
        <w:rPr>
          <w:rFonts w:ascii="Corbel" w:hAnsi="Corbel"/>
          <w:smallCaps w:val="0"/>
          <w:szCs w:val="24"/>
        </w:rPr>
        <w:t>PRAKTYKI ZAWO</w:t>
      </w:r>
      <w:r w:rsidR="009D3F3B" w:rsidRPr="0043782E">
        <w:rPr>
          <w:rFonts w:ascii="Corbel" w:hAnsi="Corbel"/>
          <w:smallCaps w:val="0"/>
          <w:szCs w:val="24"/>
        </w:rPr>
        <w:t>DOWE W RAMACH PRZEDMIOTU</w:t>
      </w:r>
    </w:p>
    <w:p w:rsidR="0085747A" w:rsidRPr="0043782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3782E" w:rsidTr="0071620A">
        <w:trPr>
          <w:trHeight w:val="397"/>
        </w:trPr>
        <w:tc>
          <w:tcPr>
            <w:tcW w:w="3544" w:type="dxa"/>
          </w:tcPr>
          <w:p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43782E" w:rsidRDefault="000838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43782E" w:rsidTr="0071620A">
        <w:trPr>
          <w:trHeight w:val="397"/>
        </w:trPr>
        <w:tc>
          <w:tcPr>
            <w:tcW w:w="3544" w:type="dxa"/>
          </w:tcPr>
          <w:p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43782E" w:rsidRDefault="000838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43782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3782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7. </w:t>
      </w:r>
      <w:r w:rsidR="0085747A" w:rsidRPr="0043782E">
        <w:rPr>
          <w:rFonts w:ascii="Corbel" w:hAnsi="Corbel"/>
          <w:smallCaps w:val="0"/>
          <w:szCs w:val="24"/>
        </w:rPr>
        <w:t>LITERATURA</w:t>
      </w:r>
      <w:r w:rsidRPr="0043782E">
        <w:rPr>
          <w:rFonts w:ascii="Corbel" w:hAnsi="Corbel"/>
          <w:smallCaps w:val="0"/>
          <w:szCs w:val="24"/>
        </w:rPr>
        <w:t xml:space="preserve"> </w:t>
      </w:r>
    </w:p>
    <w:p w:rsidR="00675843" w:rsidRPr="0043782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43C21" w:rsidTr="0071620A">
        <w:trPr>
          <w:trHeight w:val="397"/>
        </w:trPr>
        <w:tc>
          <w:tcPr>
            <w:tcW w:w="7513" w:type="dxa"/>
          </w:tcPr>
          <w:p w:rsidR="0085747A" w:rsidRPr="00043C21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43C21">
              <w:rPr>
                <w:b w:val="0"/>
                <w:smallCaps w:val="0"/>
                <w:sz w:val="20"/>
                <w:szCs w:val="20"/>
              </w:rPr>
              <w:t>Literatura podstawowa: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C21">
              <w:rPr>
                <w:rFonts w:ascii="Times New Roman" w:hAnsi="Times New Roman"/>
                <w:i/>
                <w:iCs/>
                <w:sz w:val="20"/>
                <w:szCs w:val="20"/>
              </w:rPr>
              <w:t>Instytucje i prawo Unii Europejskiej. Podręcznik dla kierunków prawa, zarządzania i administracji</w:t>
            </w:r>
            <w:r w:rsidRPr="00043C21">
              <w:rPr>
                <w:rFonts w:ascii="Times New Roman" w:hAnsi="Times New Roman"/>
                <w:sz w:val="20"/>
                <w:szCs w:val="20"/>
              </w:rPr>
              <w:t xml:space="preserve">, J. Barcz, M. Górka, A. </w:t>
            </w:r>
            <w:proofErr w:type="spellStart"/>
            <w:r w:rsidRPr="00043C21">
              <w:rPr>
                <w:rFonts w:ascii="Times New Roman" w:hAnsi="Times New Roman"/>
                <w:sz w:val="20"/>
                <w:szCs w:val="20"/>
              </w:rPr>
              <w:t>Wyrozumska</w:t>
            </w:r>
            <w:proofErr w:type="spellEnd"/>
            <w:r w:rsidRPr="00043C21">
              <w:rPr>
                <w:rFonts w:ascii="Times New Roman" w:hAnsi="Times New Roman"/>
                <w:sz w:val="20"/>
                <w:szCs w:val="20"/>
              </w:rPr>
              <w:t>, Warszawa 202</w:t>
            </w:r>
            <w:r w:rsidR="0048096C" w:rsidRPr="00043C21">
              <w:rPr>
                <w:rFonts w:ascii="Times New Roman" w:hAnsi="Times New Roman"/>
                <w:sz w:val="20"/>
                <w:szCs w:val="20"/>
              </w:rPr>
              <w:t>3</w:t>
            </w:r>
            <w:r w:rsidRPr="00043C2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</w:pPr>
            <w:r w:rsidRPr="00043C21">
              <w:rPr>
                <w:rFonts w:ascii="Times New Roman" w:hAnsi="Times New Roman"/>
                <w:i/>
                <w:iCs/>
                <w:sz w:val="20"/>
                <w:szCs w:val="20"/>
              </w:rPr>
              <w:t>Prawo Instytucjonalne Unii Europejskiej</w:t>
            </w:r>
            <w:r w:rsidRPr="00043C21">
              <w:rPr>
                <w:rFonts w:ascii="Times New Roman" w:hAnsi="Times New Roman"/>
                <w:sz w:val="20"/>
                <w:szCs w:val="20"/>
              </w:rPr>
              <w:t xml:space="preserve">, M. Kenig – Witkowska (red.), A. Łazowski, R. </w:t>
            </w:r>
            <w:proofErr w:type="spellStart"/>
            <w:r w:rsidRPr="00043C21">
              <w:rPr>
                <w:rFonts w:ascii="Times New Roman" w:hAnsi="Times New Roman"/>
                <w:sz w:val="20"/>
                <w:szCs w:val="20"/>
              </w:rPr>
              <w:t>Ostryhański</w:t>
            </w:r>
            <w:proofErr w:type="spellEnd"/>
            <w:r w:rsidRPr="00043C21">
              <w:rPr>
                <w:rFonts w:ascii="Times New Roman" w:hAnsi="Times New Roman"/>
                <w:sz w:val="20"/>
                <w:szCs w:val="20"/>
              </w:rPr>
              <w:t>, Warszawa 2019.</w:t>
            </w:r>
          </w:p>
          <w:p w:rsidR="0043782E" w:rsidRPr="00043C21" w:rsidRDefault="00BC04D6" w:rsidP="0043782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Cs/>
                <w:smallCaps/>
                <w:color w:val="000000"/>
                <w:sz w:val="20"/>
                <w:szCs w:val="20"/>
              </w:rPr>
            </w:pPr>
            <w:r w:rsidRPr="00043C21">
              <w:rPr>
                <w:rFonts w:ascii="Times New Roman" w:hAnsi="Times New Roman"/>
                <w:bCs/>
                <w:i/>
                <w:smallCaps/>
                <w:color w:val="000000"/>
                <w:sz w:val="20"/>
                <w:szCs w:val="20"/>
              </w:rPr>
              <w:t>Traktat o Unii Europejskiej . Komentarz</w:t>
            </w:r>
            <w:r w:rsidRPr="00043C21">
              <w:rPr>
                <w:rFonts w:ascii="Times New Roman" w:hAnsi="Times New Roman"/>
                <w:bCs/>
                <w:iCs/>
                <w:smallCaps/>
                <w:color w:val="000000"/>
                <w:sz w:val="20"/>
                <w:szCs w:val="20"/>
              </w:rPr>
              <w:t xml:space="preserve"> , R. Cieśliński, A. Grzelak, R. Grzeszczak, D. </w:t>
            </w:r>
            <w:proofErr w:type="spellStart"/>
            <w:r w:rsidRPr="00043C21">
              <w:rPr>
                <w:rFonts w:ascii="Times New Roman" w:hAnsi="Times New Roman"/>
                <w:bCs/>
                <w:iCs/>
                <w:smallCaps/>
                <w:color w:val="000000"/>
                <w:sz w:val="20"/>
                <w:szCs w:val="20"/>
              </w:rPr>
              <w:t>Kornobis</w:t>
            </w:r>
            <w:proofErr w:type="spellEnd"/>
            <w:r w:rsidRPr="00043C21">
              <w:rPr>
                <w:rFonts w:ascii="Times New Roman" w:hAnsi="Times New Roman"/>
                <w:bCs/>
                <w:iCs/>
                <w:smallCaps/>
                <w:color w:val="000000"/>
                <w:sz w:val="20"/>
                <w:szCs w:val="20"/>
              </w:rPr>
              <w:t>-Romanowska i inni, Warszawa 2023.</w:t>
            </w:r>
          </w:p>
        </w:tc>
      </w:tr>
      <w:tr w:rsidR="0085747A" w:rsidRPr="00043C21" w:rsidTr="0071620A">
        <w:trPr>
          <w:trHeight w:val="397"/>
        </w:trPr>
        <w:tc>
          <w:tcPr>
            <w:tcW w:w="7513" w:type="dxa"/>
          </w:tcPr>
          <w:p w:rsidR="00043C21" w:rsidRPr="00043C21" w:rsidRDefault="0085747A" w:rsidP="00043C21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43C21">
              <w:rPr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:rsidR="00043C21" w:rsidRPr="0008385C" w:rsidRDefault="00043C21" w:rsidP="00043C21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b w:val="0"/>
                <w:bCs/>
                <w:smallCaps w:val="0"/>
                <w:sz w:val="20"/>
                <w:szCs w:val="20"/>
                <w:lang w:val="en-GB"/>
              </w:rPr>
            </w:pPr>
            <w:r w:rsidRPr="0008385C">
              <w:rPr>
                <w:b w:val="0"/>
                <w:bCs/>
                <w:i/>
                <w:iCs/>
                <w:smallCaps w:val="0"/>
                <w:sz w:val="20"/>
                <w:szCs w:val="20"/>
                <w:lang w:val="en-GB"/>
              </w:rPr>
              <w:t xml:space="preserve">The Institutions of the European Union, </w:t>
            </w:r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 xml:space="preserve">D. </w:t>
            </w:r>
            <w:proofErr w:type="spellStart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Hotson</w:t>
            </w:r>
            <w:proofErr w:type="spellEnd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, J. Peterson</w:t>
            </w:r>
            <w:r w:rsidRPr="0008385C">
              <w:rPr>
                <w:b w:val="0"/>
                <w:bCs/>
                <w:i/>
                <w:iCs/>
                <w:smallCaps w:val="0"/>
                <w:sz w:val="20"/>
                <w:szCs w:val="20"/>
                <w:lang w:val="en-GB"/>
              </w:rPr>
              <w:t xml:space="preserve">, </w:t>
            </w:r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Oxford 2017.</w:t>
            </w:r>
          </w:p>
          <w:p w:rsidR="00043C21" w:rsidRPr="0008385C" w:rsidRDefault="00043C21" w:rsidP="00043C21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b w:val="0"/>
                <w:bCs/>
                <w:smallCaps w:val="0"/>
                <w:sz w:val="20"/>
                <w:szCs w:val="20"/>
                <w:lang w:val="en-GB"/>
              </w:rPr>
            </w:pPr>
            <w:r w:rsidRPr="0008385C">
              <w:rPr>
                <w:b w:val="0"/>
                <w:bCs/>
                <w:i/>
                <w:iCs/>
                <w:smallCaps w:val="0"/>
                <w:sz w:val="20"/>
                <w:szCs w:val="20"/>
                <w:lang w:val="en-GB"/>
              </w:rPr>
              <w:t>European  Union Law,</w:t>
            </w:r>
            <w:r w:rsidRPr="0008385C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 xml:space="preserve">K. </w:t>
            </w:r>
            <w:proofErr w:type="spellStart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Lenaerts</w:t>
            </w:r>
            <w:proofErr w:type="spellEnd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 xml:space="preserve">,  P.  Van </w:t>
            </w:r>
            <w:proofErr w:type="spellStart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Nuffel</w:t>
            </w:r>
            <w:proofErr w:type="spellEnd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,  R. Bray</w:t>
            </w:r>
            <w:r w:rsidRPr="0008385C">
              <w:rPr>
                <w:b w:val="0"/>
                <w:bCs/>
                <w:i/>
                <w:iCs/>
                <w:smallCaps w:val="0"/>
                <w:sz w:val="20"/>
                <w:szCs w:val="20"/>
                <w:lang w:val="en-GB"/>
              </w:rPr>
              <w:t xml:space="preserve">, </w:t>
            </w:r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London 2011.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Wprowadzenie do prawa Wspólnot Europejskich (Unii Europejskiej)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Andrzej Wróbel (red.), Zakamycze 2004.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Integracja europejska,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Elżbieta Dynia, Warszawa 2006.</w:t>
            </w:r>
          </w:p>
          <w:p w:rsidR="0043782E" w:rsidRPr="00043C21" w:rsidRDefault="00325301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hyperlink r:id="rId8" w:history="1">
              <w:r w:rsidR="0043782E" w:rsidRPr="00043C21">
                <w:rPr>
                  <w:rFonts w:ascii="Times New Roman" w:eastAsia="Times New Roman" w:hAnsi="Times New Roman"/>
                  <w:i/>
                  <w:sz w:val="20"/>
                  <w:szCs w:val="20"/>
                  <w:lang w:eastAsia="pl-PL"/>
                </w:rPr>
                <w:t xml:space="preserve">Unia Europejska: podręcznik akademicki dla studentów nauk humanistycznych. T. 1, Geneza, system, prawo, </w:t>
              </w:r>
              <w:r w:rsidR="0043782E" w:rsidRPr="00043C21">
                <w:rPr>
                  <w:rFonts w:ascii="Times New Roman" w:eastAsia="Times New Roman" w:hAnsi="Times New Roman"/>
                  <w:sz w:val="20"/>
                  <w:szCs w:val="20"/>
                  <w:lang w:eastAsia="pl-PL"/>
                </w:rPr>
                <w:t xml:space="preserve">Witold M. Góralski (red.), </w:t>
              </w:r>
            </w:hyperlink>
            <w:r w:rsidR="00043C21"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Warszawa</w:t>
            </w:r>
            <w:r w:rsidR="0043782E"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2007.</w:t>
            </w:r>
          </w:p>
          <w:p w:rsidR="0043782E" w:rsidRPr="00043C21" w:rsidRDefault="00325301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hyperlink r:id="rId9" w:history="1">
              <w:r w:rsidR="0043782E" w:rsidRPr="00043C21">
                <w:rPr>
                  <w:rFonts w:ascii="Times New Roman" w:eastAsia="Times New Roman" w:hAnsi="Times New Roman"/>
                  <w:i/>
                  <w:sz w:val="20"/>
                  <w:szCs w:val="20"/>
                  <w:lang w:eastAsia="pl-PL"/>
                </w:rPr>
                <w:t>Unia Europejska: podręcznik akademicki dla studentów nauk humanistycznych  T. 2, Gospodarka, polityka, współpraca</w:t>
              </w:r>
              <w:r w:rsidR="0043782E" w:rsidRPr="00043C21">
                <w:rPr>
                  <w:rFonts w:ascii="Times New Roman" w:eastAsia="Times New Roman" w:hAnsi="Times New Roman"/>
                  <w:sz w:val="20"/>
                  <w:szCs w:val="20"/>
                  <w:lang w:eastAsia="pl-PL"/>
                </w:rPr>
                <w:t xml:space="preserve">, Witold M. Góralski (red.) </w:t>
              </w:r>
            </w:hyperlink>
            <w:r w:rsidR="0043782E"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Warszawa 2007.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Meritum Unia Europejska. Prawo instytucjonalne i gospodarcze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A. Łazowski (red.), Warszawa 2007.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UE – zagadnienia systemowe oraz prawo materialne i polityki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Jan Barcz (red.), Warszawa 2006.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Ochrona praw podstawowych w Unii Europejskiej,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Barcz (red.), </w:t>
            </w:r>
            <w:r w:rsidR="00043C21"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Warszawa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2008.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Ochrona praw człowieka w Rzeczypospolitej Polskiej na tle standardów europejskich,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K. Machowska, Lublin 2009.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Przyszłość Unii Europejskiej. Aspekty polityczne, ekonomiczne i cywilizacyjne,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M., Malinowski, S. Musiał, Gdańsk 2009.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Doświadczenia prawne pierwszych lat członkostwa Polski w Unii Europejskiej,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S. Biernat (red.), S. Dudzik (red.),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Instytucje i prawo Unii Europejskiej: podręcznik dla kierunków zarządzania i administracji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Barcz, M. Górka, A.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Wyrozumska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Warszawa 2010 (wyd. 2).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Ochrona uprawnień wynikających z prawa Unii Europejskiej w postępowaniach krajowych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N. Półtorak,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Traktat ustanawiający Wspólnotę Europejską: komentarz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A. Wróbel – redaktor całości. Poszczególne tomy: </w:t>
            </w:r>
          </w:p>
          <w:p w:rsidR="0043782E" w:rsidRPr="00043C21" w:rsidRDefault="0043782E" w:rsidP="0043782E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T.1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. 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Art. 1-60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pod red. D.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Miąsika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N.Półtorak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Kraków 2008.</w:t>
            </w:r>
          </w:p>
          <w:p w:rsidR="0043782E" w:rsidRPr="00043C21" w:rsidRDefault="0043782E" w:rsidP="0043782E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T.2, (Art. 61-188)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pod red. K. Kowalik-Bańczyk, M. Szwarc-Kuczer,  Kraków 2009.</w:t>
            </w:r>
          </w:p>
          <w:p w:rsidR="0043782E" w:rsidRPr="00043C21" w:rsidRDefault="0043782E" w:rsidP="0043782E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T.3, (Art. 189-314)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pod red. D.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Kornobis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-Romanowskiej, J. Łacny, Warszawa – Kraków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Stosowanie Prawa Unii Europejskiej przez sądy T.1.,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A. Wróbel (red.), Warszawa 2010 (wyd. 2.).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Stosowanie Prawa Unii Europejskiej przez sądy. T.2, Zasady, orzecznictwo, piśmiennictwo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M. Szwarc-Kuczer (red.), Warszawa 2007.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Ustrój Unii Europejskiej. Tom 1,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Barcz (red.),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Ustrój Unii Europejskiej. Tom 2,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J. Barcz (red.), Warszawa 2010.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Unijny obowiązek odmowy zastosowania przez sąd krajowy ustawy niezgodnej z dyrektywą Unii Europejskiej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P. Brzeziński,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Wybory do Parlamentu Europejskiego. Prawne, polityczne i społeczne aspekty wyborów,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Sokala (red.), B. Michalak(red.),, A. Frydrych (red.),  R. Zych (red.), Toruń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Polska w strukturach Unii Europejskiej. Doświadczenia - oczekiwania – wyzwania,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M. Marczewska-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Rytko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Lublin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Implementacja unijnej polityki regionalnej w Polsce,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Szafran, Lublin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Teksty prawne Unii Europejskiej. Opracowanie treściowe i redakcyjne oraz zasady ich publikacji,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Malinowski,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Podstawy prawa Unii Europejskiej z uwzględnieniem Traktatu z Lizbon: zarys wykładu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Galster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(red.), Toruń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Ponadnarodowość w systemie politycznym Unii Europejskiej,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Ruszkowski,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lastRenderedPageBreak/>
              <w:t xml:space="preserve">W stronę europejskiego demos? Polskie wybory do Parlamentu Europejskiego w 2009 roku w perspektywie porównawczej,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Kucharczyk (red.), A. Łada,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Gospodarcze Unii Europejskiej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Barcz (red.),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Prawa człowieka w Unii Europejskiej (po Traktacie Lizbońskim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), J. Sozański, Poznań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integracji w Europie. Konstytucja dla Europy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Z. Brodecki (red.),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Unii Europejskiej z uwzględnieniem Traktatu z Lizbony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Barcik, A.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Wentkowska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europejskie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M.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Ahlt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M.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Szpunar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Umowy międzynarodowe Unii Europejskiej po Traktacie z Lizbony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Sozański, Poznań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Europejski wymiar sprawiedliwości w sprawach karnych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Banach-Gutierrez,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Zapewnienie efektywności orzeczeń sądów międzynarodowych w polskim porządku prawnym,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Wróbel (red.),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Historia integracji europejskiej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K.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Łastawski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Toruń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Traktat z Lizbony. Wybrane aspekty prawne działań implementacyjnych,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Barcz,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Rozporządzenie Unii Europejskiej jako składnik systemu prawa obowiązującego w Polsce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T. Jaroszyński,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Bezpieczeństwo w Unii Europejskiej,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T. R. Aleksandrowicz,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Difin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Stanowisko Parlamentu Europejskiego wobec reformy instytucjonalnej Unii Europejskiej w latach 1996–2007,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P. Kozub,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Przestrzeń Wolności, Bezpieczeństwa i Sprawiedliwości Unii Europejskiej. Współpraca wymiarów sprawiedliwości w sprawach karnych i współpraca policyjna,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Grzelak, T.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Ostropolski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Warszawa 2011.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Przestrzeń Wolności, Bezpieczeństwa i Sprawiedliwości Unii Europejskiej. Zarządzanie granicami, polityka wizowa, azylowa i imigracyjn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a, E.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Borawska-Kędzierska, K. Strąk, Warszawa 2011.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Przestrzeń Wolności, Bezpieczeństwa i Sprawiedliwości Unii Europejskiej. Współpraca sądowa w sprawach cywilnych,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W. Sadowski, M. Taborowski, Warszawa 2011.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Europejska Unia Gospodarcza i Walutowa,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H. Gronkiewicz-Waltz,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Sankcje finansowe w razie niewykonania wyroków Trybunału Sprawiedliwość Unii Europejskiej,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Sikora,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Traktat o funkcjonowaniu Unii Europejskiej. Tom I. Komentarz LEX,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D.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Miąsik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(red.), N. Półtorak (red.), A. Wróbel (red.),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Traktat o funkcjonowaniu Unii Europejskiej. Tom II. Komentarz LEX,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D.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Miąsik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(red.), N. Półtorak (red.), A. Wróbel (red.),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Traktat o funkcjonowaniu Unii Europejskiej. Tom III. Komentarz LEX,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D.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Miąsik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(red.), N. Półtorak (red.), A. Wróbel (red.),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Integracja europejska w świetle Traktatu z Lizbony. Aspekty ekonomiczne, 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J. Barcz, E. Kawecka – Wyrzykowska, K. Michałowska –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Gorywoda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Role międzynarodowe Unii Europejskiej. Aspekty teoretyczne,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Antczak,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Europejskie prawo karne,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A.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Grzelak (red.), M. Królikowski (red.), A. Sakowicz (red.),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materialne Unii Europejskiej. Vademecum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A. Zawidzka – Łojek, R. Grzeszczak,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Wskazane przez prowadzących artykuły naukowe i popularnonaukowe. </w:t>
            </w:r>
          </w:p>
          <w:p w:rsidR="0043782E" w:rsidRPr="00043C21" w:rsidRDefault="0043782E" w:rsidP="0043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Teksty źródłowe i zbiory dokumentów: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Traktat z Lizbony zmieniający Traktat o Unii Europejskiej i Traktat ustanawiający Wspólnotę Europejską podpisany w Lizbonie dnia 13 grudnia 2007 r., Dz. Urz. UE 2007 C 306, s. 1 i n. oraz wersje skonsolidowane TUE i TFUE, Dz. Urz. UE 2010 C 83 s. 1 i n. z 30 marca 2010 r.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Wybrane orzecznictwo Trybunału Sprawiedliwości UE oraz Trybunału Konstytucyjnego w Polsce wskazane przez prowadzącego wykłady oraz ćwiczenia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 xml:space="preserve">Najnowsze wersje regulaminów instytucji UE.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Regulamin postępowania przed TS UE (TS, Sąd oraz Sąd ds. Służby Publicznej).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Unia Europejska. Podstawowe akty prawne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Ireneusz C. Kamiński, Warszawa 2005.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Podstawy prawne Unii Europejskiej. Wybór dokumentów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J. Barcz (red.), Warszawa 2010, Wyd. 3.</w:t>
            </w:r>
          </w:p>
          <w:p w:rsidR="0043782E" w:rsidRPr="00043C21" w:rsidRDefault="0043782E" w:rsidP="0043782E">
            <w:pPr>
              <w:pStyle w:val="Punktygwne"/>
              <w:spacing w:before="0" w:after="0"/>
              <w:jc w:val="both"/>
              <w:rPr>
                <w:b w:val="0"/>
                <w:i/>
                <w:smallCaps w:val="0"/>
                <w:color w:val="FF0000"/>
                <w:sz w:val="20"/>
                <w:szCs w:val="20"/>
              </w:rPr>
            </w:pPr>
            <w:r w:rsidRPr="00043C21">
              <w:rPr>
                <w:rFonts w:eastAsia="Times New Roman"/>
                <w:smallCaps w:val="0"/>
                <w:sz w:val="20"/>
                <w:szCs w:val="20"/>
                <w:lang w:eastAsia="pl-PL"/>
              </w:rPr>
              <w:t>Literatura o charakterze podstawowym oraz uzupełniającym może zostać rozszerzona przez prowadzących o najnowsze publikacje – student otrzyma informację o tychże publikacjach na pierwszych ćwiczeniach lub na pierwszym wykładzie w danym roku akademickim.</w:t>
            </w:r>
          </w:p>
          <w:p w:rsidR="0043782E" w:rsidRPr="00043C21" w:rsidRDefault="0043782E" w:rsidP="009C54AE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0"/>
                <w:szCs w:val="20"/>
              </w:rPr>
            </w:pPr>
          </w:p>
        </w:tc>
      </w:tr>
    </w:tbl>
    <w:p w:rsidR="0085747A" w:rsidRPr="0043782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3782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3782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3782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301" w:rsidRDefault="00325301" w:rsidP="00C16ABF">
      <w:pPr>
        <w:spacing w:after="0" w:line="240" w:lineRule="auto"/>
      </w:pPr>
      <w:r>
        <w:separator/>
      </w:r>
    </w:p>
  </w:endnote>
  <w:endnote w:type="continuationSeparator" w:id="0">
    <w:p w:rsidR="00325301" w:rsidRDefault="003253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301" w:rsidRDefault="00325301" w:rsidP="00C16ABF">
      <w:pPr>
        <w:spacing w:after="0" w:line="240" w:lineRule="auto"/>
      </w:pPr>
      <w:r>
        <w:separator/>
      </w:r>
    </w:p>
  </w:footnote>
  <w:footnote w:type="continuationSeparator" w:id="0">
    <w:p w:rsidR="00325301" w:rsidRDefault="0032530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79B0"/>
    <w:multiLevelType w:val="hybridMultilevel"/>
    <w:tmpl w:val="4AEA6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32E82"/>
    <w:multiLevelType w:val="hybridMultilevel"/>
    <w:tmpl w:val="34A2B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E5CC8"/>
    <w:multiLevelType w:val="hybridMultilevel"/>
    <w:tmpl w:val="7E4CB60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E848C3B8"/>
    <w:lvl w:ilvl="0" w:tplc="D63E97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042BA4"/>
    <w:multiLevelType w:val="hybridMultilevel"/>
    <w:tmpl w:val="E166BFFC"/>
    <w:lvl w:ilvl="0" w:tplc="0415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5" w15:restartNumberingAfterBreak="0">
    <w:nsid w:val="347829F6"/>
    <w:multiLevelType w:val="hybridMultilevel"/>
    <w:tmpl w:val="6A06E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D2338"/>
    <w:multiLevelType w:val="hybridMultilevel"/>
    <w:tmpl w:val="8830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275C0"/>
    <w:multiLevelType w:val="hybridMultilevel"/>
    <w:tmpl w:val="499E8F64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76782476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C21"/>
    <w:rsid w:val="00044C82"/>
    <w:rsid w:val="00070ED6"/>
    <w:rsid w:val="00073392"/>
    <w:rsid w:val="000742DC"/>
    <w:rsid w:val="0008385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B45"/>
    <w:rsid w:val="000F1C57"/>
    <w:rsid w:val="000F5615"/>
    <w:rsid w:val="0011285E"/>
    <w:rsid w:val="001212E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301"/>
    <w:rsid w:val="003343CF"/>
    <w:rsid w:val="00346FE9"/>
    <w:rsid w:val="0034708B"/>
    <w:rsid w:val="0034759A"/>
    <w:rsid w:val="003503F6"/>
    <w:rsid w:val="003530DD"/>
    <w:rsid w:val="00363F78"/>
    <w:rsid w:val="003A0A5B"/>
    <w:rsid w:val="003A1176"/>
    <w:rsid w:val="003A1323"/>
    <w:rsid w:val="003A486F"/>
    <w:rsid w:val="003C0BAE"/>
    <w:rsid w:val="003D18A9"/>
    <w:rsid w:val="003D6CE2"/>
    <w:rsid w:val="003E1941"/>
    <w:rsid w:val="003E2FE6"/>
    <w:rsid w:val="003E49D5"/>
    <w:rsid w:val="003F205D"/>
    <w:rsid w:val="003F38C0"/>
    <w:rsid w:val="00414872"/>
    <w:rsid w:val="00414E3C"/>
    <w:rsid w:val="0042244A"/>
    <w:rsid w:val="0042745A"/>
    <w:rsid w:val="00431D5C"/>
    <w:rsid w:val="004362C6"/>
    <w:rsid w:val="0043782E"/>
    <w:rsid w:val="00437FA2"/>
    <w:rsid w:val="00445970"/>
    <w:rsid w:val="00461EFC"/>
    <w:rsid w:val="004626D9"/>
    <w:rsid w:val="004652C2"/>
    <w:rsid w:val="004706D1"/>
    <w:rsid w:val="00471326"/>
    <w:rsid w:val="0047598D"/>
    <w:rsid w:val="0048096C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CA1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442A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CD9"/>
    <w:rsid w:val="008A45F7"/>
    <w:rsid w:val="008B358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06AE"/>
    <w:rsid w:val="00997F14"/>
    <w:rsid w:val="009A78D9"/>
    <w:rsid w:val="009B4EE3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0526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FD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3F5"/>
    <w:rsid w:val="00B06142"/>
    <w:rsid w:val="00B135B1"/>
    <w:rsid w:val="00B3130B"/>
    <w:rsid w:val="00B40ADB"/>
    <w:rsid w:val="00B43B77"/>
    <w:rsid w:val="00B43E80"/>
    <w:rsid w:val="00B60538"/>
    <w:rsid w:val="00B607DB"/>
    <w:rsid w:val="00B66529"/>
    <w:rsid w:val="00B75946"/>
    <w:rsid w:val="00B8056E"/>
    <w:rsid w:val="00B819C8"/>
    <w:rsid w:val="00B82308"/>
    <w:rsid w:val="00B90885"/>
    <w:rsid w:val="00BB520A"/>
    <w:rsid w:val="00BC04D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446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68D"/>
    <w:rsid w:val="00F27A7B"/>
    <w:rsid w:val="00F526AF"/>
    <w:rsid w:val="00F617C3"/>
    <w:rsid w:val="00F7066B"/>
    <w:rsid w:val="00F83B28"/>
    <w:rsid w:val="00F919B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B3E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A645B"/>
  <w15:docId w15:val="{4FADC6D3-48AD-461E-8DBA-437058F09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A4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endRequest('wo2_dowyp_ajax.p','','&amp;id_dok=734893&amp;pnw=wo2_uwyp.p'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sendRequest('wo2_dowyp_ajax.p','','&amp;id_dok=734893&amp;pnw=wo2_uwyp.p');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A5AB7-67CB-4728-9554-898D3C66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7</Pages>
  <Words>2375</Words>
  <Characters>14255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16597</CharactersWithSpaces>
  <SharedDoc>false</SharedDoc>
  <HLinks>
    <vt:vector size="12" baseType="variant">
      <vt:variant>
        <vt:i4>4259925</vt:i4>
      </vt:variant>
      <vt:variant>
        <vt:i4>3</vt:i4>
      </vt:variant>
      <vt:variant>
        <vt:i4>0</vt:i4>
      </vt:variant>
      <vt:variant>
        <vt:i4>5</vt:i4>
      </vt:variant>
      <vt:variant>
        <vt:lpwstr>javascript:sendRequest('wo2_dowyp_ajax.p','','&amp;id_dok=734893&amp;pnw=wo2_uwyp.p');</vt:lpwstr>
      </vt:variant>
      <vt:variant>
        <vt:lpwstr/>
      </vt:variant>
      <vt:variant>
        <vt:i4>4259925</vt:i4>
      </vt:variant>
      <vt:variant>
        <vt:i4>0</vt:i4>
      </vt:variant>
      <vt:variant>
        <vt:i4>0</vt:i4>
      </vt:variant>
      <vt:variant>
        <vt:i4>5</vt:i4>
      </vt:variant>
      <vt:variant>
        <vt:lpwstr>javascript:sendRequest('wo2_dowyp_ajax.p','','&amp;id_dok=734893&amp;pnw=wo2_uwyp.p');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4</cp:revision>
  <cp:lastPrinted>2019-02-06T21:12:00Z</cp:lastPrinted>
  <dcterms:created xsi:type="dcterms:W3CDTF">2023-09-26T11:58:00Z</dcterms:created>
  <dcterms:modified xsi:type="dcterms:W3CDTF">2024-08-29T11:07:00Z</dcterms:modified>
</cp:coreProperties>
</file>